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2A0ED5">
        <w:rPr>
          <w:rFonts w:ascii="Times New Roman" w:hAnsi="Times New Roman" w:cs="Times New Roman"/>
          <w:b/>
          <w:sz w:val="24"/>
          <w:szCs w:val="24"/>
        </w:rPr>
        <w:t>Legal Aspects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0B56F8" w:rsidRPr="006238CA" w:rsidRDefault="006238CA" w:rsidP="000B56F8">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This paper gives a variety of different case briefs and the facts on what went ahead with the </w:t>
      </w:r>
      <w:r w:rsidR="00C1354F">
        <w:rPr>
          <w:rFonts w:ascii="Times New Roman" w:hAnsi="Times New Roman" w:cs="Times New Roman"/>
          <w:sz w:val="24"/>
          <w:szCs w:val="24"/>
        </w:rPr>
        <w:t>judgment</w:t>
      </w:r>
      <w:r>
        <w:rPr>
          <w:rFonts w:ascii="Times New Roman" w:hAnsi="Times New Roman" w:cs="Times New Roman"/>
          <w:sz w:val="24"/>
          <w:szCs w:val="24"/>
        </w:rPr>
        <w:t>.</w:t>
      </w:r>
      <w:r w:rsidR="00C1354F">
        <w:rPr>
          <w:rFonts w:ascii="Times New Roman" w:hAnsi="Times New Roman" w:cs="Times New Roman"/>
          <w:sz w:val="24"/>
          <w:szCs w:val="24"/>
        </w:rPr>
        <w:t xml:space="preserve"> The case briefs have a comprehensive summary of the main points that were observed in the different cases.</w:t>
      </w:r>
      <w:r w:rsidR="000359BC">
        <w:rPr>
          <w:rFonts w:ascii="Times New Roman" w:hAnsi="Times New Roman" w:cs="Times New Roman"/>
          <w:sz w:val="24"/>
          <w:szCs w:val="24"/>
        </w:rPr>
        <w:t xml:space="preserve"> </w:t>
      </w:r>
      <w:r w:rsidR="008E1B6C">
        <w:rPr>
          <w:rFonts w:ascii="Times New Roman" w:hAnsi="Times New Roman" w:cs="Times New Roman"/>
          <w:sz w:val="24"/>
          <w:szCs w:val="24"/>
        </w:rPr>
        <w:t>The case briefs are concise, condensed and give an outline of the case proceedings and the court opinion.</w:t>
      </w:r>
      <w:r w:rsidR="005C43A8">
        <w:rPr>
          <w:rFonts w:ascii="Times New Roman" w:hAnsi="Times New Roman" w:cs="Times New Roman"/>
          <w:sz w:val="24"/>
          <w:szCs w:val="24"/>
        </w:rPr>
        <w:t xml:space="preserve"> The basic elements of the case briefs upheld the rule of law of the different court laws </w:t>
      </w:r>
      <w:r w:rsidR="00A13DF7">
        <w:rPr>
          <w:rFonts w:ascii="Times New Roman" w:hAnsi="Times New Roman" w:cs="Times New Roman"/>
          <w:sz w:val="24"/>
          <w:szCs w:val="24"/>
        </w:rPr>
        <w:t xml:space="preserve">and their respective conclusions. </w:t>
      </w: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0B56F8" w:rsidRDefault="000B56F8" w:rsidP="002A0ED5">
      <w:pPr>
        <w:spacing w:line="480" w:lineRule="auto"/>
        <w:ind w:left="0" w:firstLine="0"/>
        <w:jc w:val="center"/>
        <w:rPr>
          <w:rFonts w:ascii="Times New Roman" w:hAnsi="Times New Roman" w:cs="Times New Roman"/>
          <w:b/>
          <w:sz w:val="24"/>
          <w:szCs w:val="24"/>
        </w:rPr>
      </w:pPr>
    </w:p>
    <w:p w:rsidR="00277236" w:rsidRDefault="002A0ED5" w:rsidP="002A0ED5">
      <w:pPr>
        <w:spacing w:line="480" w:lineRule="auto"/>
        <w:ind w:left="0" w:firstLine="0"/>
        <w:jc w:val="center"/>
        <w:rPr>
          <w:rFonts w:ascii="Times New Roman" w:hAnsi="Times New Roman" w:cs="Times New Roman"/>
          <w:b/>
          <w:sz w:val="24"/>
          <w:szCs w:val="24"/>
        </w:rPr>
      </w:pPr>
      <w:r w:rsidRPr="007C383A">
        <w:rPr>
          <w:rFonts w:ascii="Times New Roman" w:hAnsi="Times New Roman" w:cs="Times New Roman"/>
          <w:b/>
          <w:sz w:val="24"/>
          <w:szCs w:val="24"/>
        </w:rPr>
        <w:lastRenderedPageBreak/>
        <w:t>Legal aspects of business decisions</w:t>
      </w:r>
    </w:p>
    <w:p w:rsidR="007C383A" w:rsidRPr="007C383A" w:rsidRDefault="007C383A" w:rsidP="002A0ED5">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briefs </w:t>
      </w:r>
    </w:p>
    <w:p w:rsidR="002A0ED5"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2-5</w:t>
      </w:r>
      <w:r w:rsidR="00A47AE1">
        <w:rPr>
          <w:rFonts w:ascii="Times New Roman" w:hAnsi="Times New Roman" w:cs="Times New Roman"/>
          <w:b/>
          <w:sz w:val="24"/>
          <w:szCs w:val="24"/>
        </w:rPr>
        <w:t xml:space="preserve"> (The M/V Saiga Case (Merits)</w:t>
      </w:r>
    </w:p>
    <w:p w:rsidR="000B56F8" w:rsidRDefault="00C854D6" w:rsidP="000B56F8">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0B56F8">
        <w:rPr>
          <w:rFonts w:ascii="Times New Roman" w:hAnsi="Times New Roman" w:cs="Times New Roman"/>
          <w:sz w:val="24"/>
          <w:szCs w:val="24"/>
        </w:rPr>
        <w:t xml:space="preserve">In this case, M/Saiga was an oil </w:t>
      </w:r>
      <w:r w:rsidR="00E60612">
        <w:rPr>
          <w:rFonts w:ascii="Times New Roman" w:hAnsi="Times New Roman" w:cs="Times New Roman"/>
          <w:sz w:val="24"/>
          <w:szCs w:val="24"/>
        </w:rPr>
        <w:t>tanker that</w:t>
      </w:r>
      <w:r w:rsidR="000B56F8">
        <w:rPr>
          <w:rFonts w:ascii="Times New Roman" w:hAnsi="Times New Roman" w:cs="Times New Roman"/>
          <w:sz w:val="24"/>
          <w:szCs w:val="24"/>
        </w:rPr>
        <w:t xml:space="preserve"> was using the Saint Vincent Flag and the Gernadines. The ship was plying the coast of guinea while supplying fuel for fishing vessels and other vessels operating on the coastal line. The case dated 27</w:t>
      </w:r>
      <w:r w:rsidR="000B56F8" w:rsidRPr="000B56F8">
        <w:rPr>
          <w:rFonts w:ascii="Times New Roman" w:hAnsi="Times New Roman" w:cs="Times New Roman"/>
          <w:sz w:val="24"/>
          <w:szCs w:val="24"/>
          <w:vertAlign w:val="superscript"/>
        </w:rPr>
        <w:t>th</w:t>
      </w:r>
      <w:r w:rsidR="000B56F8">
        <w:rPr>
          <w:rFonts w:ascii="Times New Roman" w:hAnsi="Times New Roman" w:cs="Times New Roman"/>
          <w:sz w:val="24"/>
          <w:szCs w:val="24"/>
        </w:rPr>
        <w:t xml:space="preserve"> October 1997 was as a result of M/V Saiga going beyond it boundaries which it was </w:t>
      </w:r>
      <w:r w:rsidR="00E60612">
        <w:rPr>
          <w:rFonts w:ascii="Times New Roman" w:hAnsi="Times New Roman" w:cs="Times New Roman"/>
          <w:sz w:val="24"/>
          <w:szCs w:val="24"/>
        </w:rPr>
        <w:t>supposed to</w:t>
      </w:r>
      <w:r w:rsidR="000B56F8">
        <w:rPr>
          <w:rFonts w:ascii="Times New Roman" w:hAnsi="Times New Roman" w:cs="Times New Roman"/>
          <w:sz w:val="24"/>
          <w:szCs w:val="24"/>
        </w:rPr>
        <w:t xml:space="preserve"> be </w:t>
      </w:r>
      <w:r w:rsidR="00E60612">
        <w:rPr>
          <w:rFonts w:ascii="Times New Roman" w:hAnsi="Times New Roman" w:cs="Times New Roman"/>
          <w:sz w:val="24"/>
          <w:szCs w:val="24"/>
        </w:rPr>
        <w:t>operating on. It crossed to Guinean Island while it was sup</w:t>
      </w:r>
      <w:r w:rsidR="006B4A4E">
        <w:rPr>
          <w:rFonts w:ascii="Times New Roman" w:hAnsi="Times New Roman" w:cs="Times New Roman"/>
          <w:sz w:val="24"/>
          <w:szCs w:val="24"/>
        </w:rPr>
        <w:t>posed to operate in Guinea Bissau</w:t>
      </w:r>
      <w:r w:rsidR="00E60612">
        <w:rPr>
          <w:rFonts w:ascii="Times New Roman" w:hAnsi="Times New Roman" w:cs="Times New Roman"/>
          <w:sz w:val="24"/>
          <w:szCs w:val="24"/>
        </w:rPr>
        <w:t xml:space="preserve"> and this led to the master and crew being detained. Grenadines and Saint Vincent began with their proceedings in the international Tribunal and unfortunately the Guinean authorizes did not demand for any financial security for their release or any bond.</w:t>
      </w:r>
      <w:r w:rsidR="008D7D2F">
        <w:rPr>
          <w:rFonts w:ascii="Times New Roman" w:hAnsi="Times New Roman" w:cs="Times New Roman"/>
          <w:sz w:val="24"/>
          <w:szCs w:val="24"/>
        </w:rPr>
        <w:t xml:space="preserve"> Grenadines and Saint Vincent still wanted their cargo, crew, and vessel to be released immediately </w:t>
      </w:r>
      <w:r w:rsidR="00995A29">
        <w:rPr>
          <w:rFonts w:ascii="Times New Roman" w:hAnsi="Times New Roman" w:cs="Times New Roman"/>
          <w:sz w:val="24"/>
          <w:szCs w:val="24"/>
        </w:rPr>
        <w:t>but</w:t>
      </w:r>
      <w:r w:rsidR="008D7D2F">
        <w:rPr>
          <w:rFonts w:ascii="Times New Roman" w:hAnsi="Times New Roman" w:cs="Times New Roman"/>
          <w:sz w:val="24"/>
          <w:szCs w:val="24"/>
        </w:rPr>
        <w:t xml:space="preserve"> </w:t>
      </w:r>
      <w:r w:rsidR="00995A29">
        <w:rPr>
          <w:rFonts w:ascii="Times New Roman" w:hAnsi="Times New Roman" w:cs="Times New Roman"/>
          <w:sz w:val="24"/>
          <w:szCs w:val="24"/>
        </w:rPr>
        <w:t>unfortunately,</w:t>
      </w:r>
      <w:r w:rsidR="008D7D2F">
        <w:rPr>
          <w:rFonts w:ascii="Times New Roman" w:hAnsi="Times New Roman" w:cs="Times New Roman"/>
          <w:sz w:val="24"/>
          <w:szCs w:val="24"/>
        </w:rPr>
        <w:t xml:space="preserve"> no bond was provided in this matter (Schoenbaum, 2013)</w:t>
      </w:r>
    </w:p>
    <w:p w:rsidR="008D7D2F" w:rsidRDefault="008D7D2F" w:rsidP="000B56F8">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t xml:space="preserve">The Guinea on the other hand wanted the </w:t>
      </w:r>
      <w:r w:rsidR="0070610C">
        <w:rPr>
          <w:rFonts w:ascii="Times New Roman" w:hAnsi="Times New Roman" w:cs="Times New Roman"/>
          <w:sz w:val="24"/>
          <w:szCs w:val="24"/>
        </w:rPr>
        <w:t xml:space="preserve">tribunal that was presented with this case to do away with the applicants’ demands. The Tribunal however, could not form the basis of the submission given that no financial security was allowed and the body was not posted about </w:t>
      </w:r>
      <w:r w:rsidR="00995A29">
        <w:rPr>
          <w:rFonts w:ascii="Times New Roman" w:hAnsi="Times New Roman" w:cs="Times New Roman"/>
          <w:sz w:val="24"/>
          <w:szCs w:val="24"/>
        </w:rPr>
        <w:t>it, which</w:t>
      </w:r>
      <w:r w:rsidR="0070610C">
        <w:rPr>
          <w:rFonts w:ascii="Times New Roman" w:hAnsi="Times New Roman" w:cs="Times New Roman"/>
          <w:sz w:val="24"/>
          <w:szCs w:val="24"/>
        </w:rPr>
        <w:t xml:space="preserve"> was a requirement in the application accor</w:t>
      </w:r>
      <w:r w:rsidR="00995A29">
        <w:rPr>
          <w:rFonts w:ascii="Times New Roman" w:hAnsi="Times New Roman" w:cs="Times New Roman"/>
          <w:sz w:val="24"/>
          <w:szCs w:val="24"/>
        </w:rPr>
        <w:t xml:space="preserve">ding to article 292. The Tribunal seemed not possible to hold </w:t>
      </w:r>
      <w:r w:rsidR="00201B34">
        <w:rPr>
          <w:rFonts w:ascii="Times New Roman" w:hAnsi="Times New Roman" w:cs="Times New Roman"/>
          <w:sz w:val="24"/>
          <w:szCs w:val="24"/>
        </w:rPr>
        <w:t xml:space="preserve">Grenadines and Saint Vincent as Guinea did not notify the detention as per article 73. The allegations by Grenadines </w:t>
      </w:r>
      <w:r w:rsidR="0002519E">
        <w:rPr>
          <w:rFonts w:ascii="Times New Roman" w:hAnsi="Times New Roman" w:cs="Times New Roman"/>
          <w:sz w:val="24"/>
          <w:szCs w:val="24"/>
        </w:rPr>
        <w:t>and Saint Vincent took a new shape and Guinea was supposed to release M/V Saiga and the crew on bases of a financial security of $400000 (Schoenbaum, 2013)</w:t>
      </w:r>
    </w:p>
    <w:p w:rsidR="007C383A" w:rsidRPr="0002519E" w:rsidRDefault="008D7D2F" w:rsidP="0002519E">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555720">
        <w:rPr>
          <w:rFonts w:ascii="Times New Roman" w:hAnsi="Times New Roman" w:cs="Times New Roman"/>
          <w:b/>
          <w:sz w:val="24"/>
          <w:szCs w:val="24"/>
        </w:rPr>
        <w:t xml:space="preserve">Case 7-2/ </w:t>
      </w:r>
      <w:r w:rsidR="007C383A">
        <w:rPr>
          <w:rFonts w:ascii="Times New Roman" w:hAnsi="Times New Roman" w:cs="Times New Roman"/>
          <w:b/>
          <w:sz w:val="24"/>
          <w:szCs w:val="24"/>
        </w:rPr>
        <w:t>Case 3-1</w:t>
      </w:r>
      <w:r w:rsidR="00AA7E09">
        <w:rPr>
          <w:rFonts w:ascii="Times New Roman" w:hAnsi="Times New Roman" w:cs="Times New Roman"/>
          <w:b/>
          <w:sz w:val="24"/>
          <w:szCs w:val="24"/>
        </w:rPr>
        <w:t xml:space="preserve"> (Japan –Taxes on Alcoholic Beverages)</w:t>
      </w:r>
    </w:p>
    <w:p w:rsidR="00A7393A" w:rsidRDefault="00815F7B" w:rsidP="0002519E">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I</w:t>
      </w:r>
      <w:r w:rsidRPr="00815F7B">
        <w:rPr>
          <w:rFonts w:ascii="Times New Roman" w:hAnsi="Times New Roman" w:cs="Times New Roman"/>
          <w:sz w:val="24"/>
          <w:szCs w:val="24"/>
        </w:rPr>
        <w:t xml:space="preserve">n </w:t>
      </w:r>
      <w:r>
        <w:rPr>
          <w:rFonts w:ascii="Times New Roman" w:hAnsi="Times New Roman" w:cs="Times New Roman"/>
          <w:sz w:val="24"/>
          <w:szCs w:val="24"/>
        </w:rPr>
        <w:t>this case, European communities, Canada and U.S complained that were being exported to Japan were discriminated against by the Japanese liquor tax system. According to them, taxes were lowered on the “Shochu”than their exported goods such as spirits, whisky, and cognac.</w:t>
      </w:r>
      <w:r w:rsidR="00F91257">
        <w:rPr>
          <w:rFonts w:ascii="Times New Roman" w:hAnsi="Times New Roman" w:cs="Times New Roman"/>
          <w:sz w:val="24"/>
          <w:szCs w:val="24"/>
        </w:rPr>
        <w:t xml:space="preserve"> A joint board was formed to investigate about the matter at the DSB meeting dated 27 September 1995. On 30 October 1995 a panel was formed. The report of the joint board, that observed the Japanese assessment framework found to be conflicting with the GATT ArticleIII</w:t>
      </w:r>
      <w:r w:rsidR="004F6E82">
        <w:rPr>
          <w:rFonts w:ascii="Times New Roman" w:hAnsi="Times New Roman" w:cs="Times New Roman"/>
          <w:sz w:val="24"/>
          <w:szCs w:val="24"/>
        </w:rPr>
        <w:t xml:space="preserve">; </w:t>
      </w:r>
      <w:r w:rsidR="00A07A50">
        <w:rPr>
          <w:rFonts w:ascii="Times New Roman" w:hAnsi="Times New Roman" w:cs="Times New Roman"/>
          <w:sz w:val="24"/>
          <w:szCs w:val="24"/>
        </w:rPr>
        <w:t>2, was</w:t>
      </w:r>
      <w:r w:rsidR="00F91257">
        <w:rPr>
          <w:rFonts w:ascii="Times New Roman" w:hAnsi="Times New Roman" w:cs="Times New Roman"/>
          <w:sz w:val="24"/>
          <w:szCs w:val="24"/>
        </w:rPr>
        <w:t xml:space="preserve"> presented to the members on 11 July 1996.</w:t>
      </w:r>
    </w:p>
    <w:p w:rsidR="00F91257" w:rsidRDefault="00F91257" w:rsidP="0002519E">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4F6E82">
        <w:rPr>
          <w:rFonts w:ascii="Times New Roman" w:hAnsi="Times New Roman" w:cs="Times New Roman"/>
          <w:sz w:val="24"/>
          <w:szCs w:val="24"/>
        </w:rPr>
        <w:t xml:space="preserve">On 8 August </w:t>
      </w:r>
      <w:r w:rsidR="006B4A4E">
        <w:rPr>
          <w:rFonts w:ascii="Times New Roman" w:hAnsi="Times New Roman" w:cs="Times New Roman"/>
          <w:sz w:val="24"/>
          <w:szCs w:val="24"/>
        </w:rPr>
        <w:t>1996,</w:t>
      </w:r>
      <w:r w:rsidR="004F6E82">
        <w:rPr>
          <w:rFonts w:ascii="Times New Roman" w:hAnsi="Times New Roman" w:cs="Times New Roman"/>
          <w:sz w:val="24"/>
          <w:szCs w:val="24"/>
        </w:rPr>
        <w:t xml:space="preserve"> Japan documented on their interest. Appellate Body report was presented to </w:t>
      </w:r>
      <w:r w:rsidR="00EE5A14">
        <w:rPr>
          <w:rFonts w:ascii="Times New Roman" w:hAnsi="Times New Roman" w:cs="Times New Roman"/>
          <w:sz w:val="24"/>
          <w:szCs w:val="24"/>
        </w:rPr>
        <w:t xml:space="preserve">the </w:t>
      </w:r>
      <w:r w:rsidR="004F6E82">
        <w:rPr>
          <w:rFonts w:ascii="Times New Roman" w:hAnsi="Times New Roman" w:cs="Times New Roman"/>
          <w:sz w:val="24"/>
          <w:szCs w:val="24"/>
        </w:rPr>
        <w:t xml:space="preserve">Members on 4 October 1996. According to Appellate Body’s Report </w:t>
      </w:r>
      <w:r w:rsidR="00A07A50">
        <w:rPr>
          <w:rFonts w:ascii="Times New Roman" w:hAnsi="Times New Roman" w:cs="Times New Roman"/>
          <w:sz w:val="24"/>
          <w:szCs w:val="24"/>
        </w:rPr>
        <w:t>showed that the panel’s conclusion indicated that the Japanese Liquor Tax Law was clashing with GATT Article III. In this case, they called upon the attention of the few ranges where the Panel had blundered in its legitimate thinking. The final report that was adjusted by</w:t>
      </w:r>
      <w:r w:rsidR="00C5218C">
        <w:rPr>
          <w:rFonts w:ascii="Times New Roman" w:hAnsi="Times New Roman" w:cs="Times New Roman"/>
          <w:sz w:val="24"/>
          <w:szCs w:val="24"/>
        </w:rPr>
        <w:t xml:space="preserve"> the </w:t>
      </w:r>
      <w:r w:rsidR="006B4A4E">
        <w:rPr>
          <w:rFonts w:ascii="Times New Roman" w:hAnsi="Times New Roman" w:cs="Times New Roman"/>
          <w:sz w:val="24"/>
          <w:szCs w:val="24"/>
        </w:rPr>
        <w:t>Appellate, which</w:t>
      </w:r>
      <w:r w:rsidR="00C5218C">
        <w:rPr>
          <w:rFonts w:ascii="Times New Roman" w:hAnsi="Times New Roman" w:cs="Times New Roman"/>
          <w:sz w:val="24"/>
          <w:szCs w:val="24"/>
        </w:rPr>
        <w:t xml:space="preserve"> include the Appellate report and the board report, was received on 1 November 1996.</w:t>
      </w:r>
    </w:p>
    <w:p w:rsidR="0005276D" w:rsidRDefault="00C5218C" w:rsidP="0002519E">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t>On 24 December 1996, the U.S in based on Article 21(3)(c)</w:t>
      </w:r>
      <w:r w:rsidR="0005276D">
        <w:rPr>
          <w:rFonts w:ascii="Times New Roman" w:hAnsi="Times New Roman" w:cs="Times New Roman"/>
          <w:sz w:val="24"/>
          <w:szCs w:val="24"/>
        </w:rPr>
        <w:t xml:space="preserve"> of the DSU connected to the restriction of mediations to decide the sensible timeframe for the execution by the Japan of the proposals of the Appellate Body. However, the Arbitrator’s report was flowed to each member on 14</w:t>
      </w:r>
      <w:r w:rsidR="0005276D" w:rsidRPr="0005276D">
        <w:rPr>
          <w:rFonts w:ascii="Times New Roman" w:hAnsi="Times New Roman" w:cs="Times New Roman"/>
          <w:sz w:val="24"/>
          <w:szCs w:val="24"/>
          <w:vertAlign w:val="superscript"/>
        </w:rPr>
        <w:t>th</w:t>
      </w:r>
      <w:r w:rsidR="0005276D">
        <w:rPr>
          <w:rFonts w:ascii="Times New Roman" w:hAnsi="Times New Roman" w:cs="Times New Roman"/>
          <w:sz w:val="24"/>
          <w:szCs w:val="24"/>
        </w:rPr>
        <w:t xml:space="preserve"> February 1997.</w:t>
      </w:r>
      <w:r w:rsidR="00EE5A14">
        <w:rPr>
          <w:rFonts w:ascii="Times New Roman" w:hAnsi="Times New Roman" w:cs="Times New Roman"/>
          <w:sz w:val="24"/>
          <w:szCs w:val="24"/>
        </w:rPr>
        <w:t xml:space="preserve"> </w:t>
      </w:r>
      <w:r w:rsidR="00B0670F">
        <w:rPr>
          <w:rFonts w:ascii="Times New Roman" w:hAnsi="Times New Roman" w:cs="Times New Roman"/>
          <w:sz w:val="24"/>
          <w:szCs w:val="24"/>
        </w:rPr>
        <w:t>In the case, the Arbitrator found that the time for use of the 15 months from the start of the reports ended on 1</w:t>
      </w:r>
      <w:r w:rsidR="00B0670F" w:rsidRPr="00B0670F">
        <w:rPr>
          <w:rFonts w:ascii="Times New Roman" w:hAnsi="Times New Roman" w:cs="Times New Roman"/>
          <w:sz w:val="24"/>
          <w:szCs w:val="24"/>
          <w:vertAlign w:val="superscript"/>
        </w:rPr>
        <w:t>st</w:t>
      </w:r>
      <w:r w:rsidR="00B0670F">
        <w:rPr>
          <w:rFonts w:ascii="Times New Roman" w:hAnsi="Times New Roman" w:cs="Times New Roman"/>
          <w:sz w:val="24"/>
          <w:szCs w:val="24"/>
        </w:rPr>
        <w:t xml:space="preserve"> February 1998.</w:t>
      </w:r>
      <w:r w:rsidR="003A2E5E">
        <w:rPr>
          <w:rFonts w:ascii="Times New Roman" w:hAnsi="Times New Roman" w:cs="Times New Roman"/>
          <w:sz w:val="24"/>
          <w:szCs w:val="24"/>
        </w:rPr>
        <w:t xml:space="preserve"> Japan modalities were acknowledged by complainants. </w:t>
      </w:r>
      <w:r w:rsidR="003A2E5E">
        <w:rPr>
          <w:rFonts w:ascii="Times New Roman" w:hAnsi="Times New Roman" w:cs="Times New Roman"/>
          <w:sz w:val="24"/>
          <w:szCs w:val="24"/>
        </w:rPr>
        <w:t>(</w:t>
      </w:r>
      <w:r w:rsidR="003A2E5E">
        <w:rPr>
          <w:rFonts w:ascii="Times New Roman" w:hAnsi="Times New Roman" w:cs="Times New Roman" w:hint="eastAsia"/>
          <w:sz w:val="24"/>
          <w:szCs w:val="24"/>
        </w:rPr>
        <w:t>Washington, 2012</w:t>
      </w:r>
      <w:r w:rsidR="003A2E5E">
        <w:rPr>
          <w:rFonts w:ascii="Times New Roman" w:hAnsi="Times New Roman" w:cs="Times New Roman"/>
          <w:sz w:val="24"/>
          <w:szCs w:val="24"/>
        </w:rPr>
        <w:t>)</w:t>
      </w:r>
      <w:r w:rsidR="003A2E5E" w:rsidRPr="00A7393A">
        <w:rPr>
          <w:rFonts w:ascii="Times New Roman" w:hAnsi="Times New Roman" w:cs="Times New Roman"/>
          <w:sz w:val="24"/>
          <w:szCs w:val="24"/>
        </w:rPr>
        <w:t>.</w:t>
      </w:r>
    </w:p>
    <w:p w:rsidR="007C383A" w:rsidRDefault="007C383A" w:rsidP="00A47AE1">
      <w:pPr>
        <w:spacing w:line="480" w:lineRule="auto"/>
        <w:ind w:left="0" w:firstLine="0"/>
        <w:jc w:val="center"/>
        <w:rPr>
          <w:rFonts w:ascii="Times New Roman" w:hAnsi="Times New Roman" w:cs="Times New Roman"/>
          <w:b/>
          <w:sz w:val="24"/>
          <w:szCs w:val="24"/>
        </w:rPr>
      </w:pPr>
    </w:p>
    <w:p w:rsidR="00A7393A" w:rsidRDefault="007C383A" w:rsidP="003A2E5E">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3-4</w:t>
      </w:r>
      <w:r w:rsidR="00A7393A">
        <w:rPr>
          <w:rFonts w:ascii="Times New Roman" w:hAnsi="Times New Roman" w:cs="Times New Roman"/>
          <w:b/>
          <w:sz w:val="24"/>
          <w:szCs w:val="24"/>
        </w:rPr>
        <w:t xml:space="preserve"> (Shell vs. R.W Sturge Ltd).</w:t>
      </w:r>
    </w:p>
    <w:p w:rsidR="003A2E5E" w:rsidRPr="003A2E5E" w:rsidRDefault="003A2E5E" w:rsidP="003A2E5E">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Pr="003A2E5E">
        <w:rPr>
          <w:rFonts w:ascii="Times New Roman" w:hAnsi="Times New Roman" w:cs="Times New Roman"/>
          <w:sz w:val="24"/>
          <w:szCs w:val="24"/>
        </w:rPr>
        <w:t xml:space="preserve">The parties offended in this case </w:t>
      </w:r>
      <w:r>
        <w:rPr>
          <w:rFonts w:ascii="Times New Roman" w:hAnsi="Times New Roman" w:cs="Times New Roman"/>
          <w:sz w:val="24"/>
          <w:szCs w:val="24"/>
        </w:rPr>
        <w:t xml:space="preserve">include; </w:t>
      </w:r>
      <w:r w:rsidRPr="00A7393A">
        <w:rPr>
          <w:rFonts w:ascii="Times New Roman" w:hAnsi="Times New Roman" w:cs="Times New Roman"/>
          <w:sz w:val="24"/>
          <w:szCs w:val="24"/>
        </w:rPr>
        <w:t>Andre</w:t>
      </w:r>
      <w:r>
        <w:rPr>
          <w:rFonts w:ascii="Times New Roman" w:hAnsi="Times New Roman" w:cs="Times New Roman"/>
          <w:sz w:val="24"/>
          <w:szCs w:val="24"/>
        </w:rPr>
        <w:t>w C. Hauch III, West Shell, Jr., a</w:t>
      </w:r>
      <w:r>
        <w:rPr>
          <w:rFonts w:ascii="Times New Roman" w:hAnsi="Times New Roman" w:cs="Times New Roman"/>
          <w:sz w:val="24"/>
          <w:szCs w:val="24"/>
        </w:rPr>
        <w:t xml:space="preserve">s well as </w:t>
      </w:r>
      <w:r>
        <w:rPr>
          <w:rFonts w:ascii="Times New Roman" w:hAnsi="Times New Roman" w:cs="Times New Roman"/>
          <w:sz w:val="24"/>
          <w:szCs w:val="24"/>
        </w:rPr>
        <w:t xml:space="preserve">Herbert A., </w:t>
      </w:r>
      <w:r w:rsidRPr="00A7393A">
        <w:rPr>
          <w:rFonts w:ascii="Times New Roman" w:hAnsi="Times New Roman" w:cs="Times New Roman"/>
          <w:sz w:val="24"/>
          <w:szCs w:val="24"/>
        </w:rPr>
        <w:t>Middendorff</w:t>
      </w:r>
      <w:r w:rsidR="00A439AB">
        <w:rPr>
          <w:rFonts w:ascii="Times New Roman" w:hAnsi="Times New Roman" w:cs="Times New Roman"/>
          <w:sz w:val="24"/>
          <w:szCs w:val="24"/>
        </w:rPr>
        <w:t xml:space="preserve"> and the names recorded in the diversity jurisdiction against the </w:t>
      </w:r>
      <w:r w:rsidR="006B4A4E">
        <w:rPr>
          <w:rFonts w:ascii="Times New Roman" w:hAnsi="Times New Roman" w:cs="Times New Roman"/>
          <w:sz w:val="24"/>
          <w:szCs w:val="24"/>
        </w:rPr>
        <w:t>Lloyd’s</w:t>
      </w:r>
      <w:r w:rsidR="00A439AB">
        <w:rPr>
          <w:rFonts w:ascii="Times New Roman" w:hAnsi="Times New Roman" w:cs="Times New Roman"/>
          <w:sz w:val="24"/>
          <w:szCs w:val="24"/>
        </w:rPr>
        <w:t xml:space="preserve"> </w:t>
      </w:r>
      <w:r w:rsidR="00A439AB">
        <w:rPr>
          <w:rFonts w:ascii="Times New Roman" w:hAnsi="Times New Roman" w:cs="Times New Roman"/>
          <w:sz w:val="24"/>
          <w:szCs w:val="24"/>
        </w:rPr>
        <w:lastRenderedPageBreak/>
        <w:t xml:space="preserve">R.W. In this case the Society of Lloyd’s, Sturge LTD and Corporation of Lloyd’s which was not viewed as an insurance agency </w:t>
      </w:r>
      <w:r w:rsidR="00747945">
        <w:rPr>
          <w:rFonts w:ascii="Times New Roman" w:hAnsi="Times New Roman" w:cs="Times New Roman"/>
          <w:sz w:val="24"/>
          <w:szCs w:val="24"/>
        </w:rPr>
        <w:t>but a gathering of individuals teaming to subsidize the business order. The ward judgment permitted the Ohio District Court to apply the power to hear the case as per the names of the residents of Ohio against the respondent natives of England whose venture had infringed upon the Ohio Securities law.</w:t>
      </w:r>
      <w:r w:rsidR="00011D8B">
        <w:rPr>
          <w:rFonts w:ascii="Times New Roman" w:hAnsi="Times New Roman" w:cs="Times New Roman"/>
          <w:sz w:val="24"/>
          <w:szCs w:val="24"/>
        </w:rPr>
        <w:t xml:space="preserve"> The issue, however, was expelled from the Hamilton County of common and reallocated to United States Magistrate. The judge of the United States Magistrate heard the proof presented to the court and all the proof, dissent, the civil argument as presented by the offended party. The judge ruled in favor of the defendant and therefore expelled the motion considering that the two parties were into an involved enforceable forum arrangement</w:t>
      </w:r>
      <w:r w:rsidR="0048048C">
        <w:rPr>
          <w:rFonts w:ascii="Times New Roman" w:hAnsi="Times New Roman" w:cs="Times New Roman"/>
          <w:sz w:val="24"/>
          <w:szCs w:val="24"/>
        </w:rPr>
        <w:t xml:space="preserve"> </w:t>
      </w:r>
      <w:r w:rsidR="0048048C">
        <w:rPr>
          <w:rFonts w:ascii="Times New Roman" w:hAnsi="Times New Roman" w:cs="Times New Roman"/>
          <w:sz w:val="24"/>
          <w:szCs w:val="24"/>
        </w:rPr>
        <w:t>(</w:t>
      </w:r>
      <w:r w:rsidR="0048048C" w:rsidRPr="007F1C66">
        <w:rPr>
          <w:rFonts w:ascii="Times New Roman" w:hAnsi="Times New Roman" w:cs="Times New Roman" w:hint="eastAsia"/>
          <w:sz w:val="24"/>
          <w:szCs w:val="24"/>
        </w:rPr>
        <w:t xml:space="preserve">West Group., </w:t>
      </w:r>
      <w:r w:rsidR="0048048C">
        <w:rPr>
          <w:rFonts w:ascii="Times New Roman" w:hAnsi="Times New Roman" w:cs="Times New Roman" w:hint="eastAsia"/>
          <w:sz w:val="24"/>
          <w:szCs w:val="24"/>
        </w:rPr>
        <w:t>&amp; West Publishing Company</w:t>
      </w:r>
      <w:r w:rsidR="0048048C">
        <w:rPr>
          <w:rFonts w:ascii="Times New Roman" w:hAnsi="Times New Roman" w:cs="Times New Roman"/>
          <w:sz w:val="24"/>
          <w:szCs w:val="24"/>
        </w:rPr>
        <w:t xml:space="preserve">, </w:t>
      </w:r>
      <w:r w:rsidR="0048048C">
        <w:rPr>
          <w:rFonts w:ascii="Times New Roman" w:hAnsi="Times New Roman" w:cs="Times New Roman" w:hint="eastAsia"/>
          <w:sz w:val="24"/>
          <w:szCs w:val="24"/>
        </w:rPr>
        <w:t>2014</w:t>
      </w:r>
      <w:r w:rsidR="0048048C">
        <w:rPr>
          <w:rFonts w:ascii="Times New Roman" w:hAnsi="Times New Roman" w:cs="Times New Roman"/>
          <w:sz w:val="24"/>
          <w:szCs w:val="24"/>
        </w:rPr>
        <w:t>)</w:t>
      </w:r>
      <w:r w:rsidR="0048048C">
        <w:rPr>
          <w:rFonts w:ascii="Times New Roman" w:hAnsi="Times New Roman" w:cs="Times New Roman"/>
          <w:sz w:val="24"/>
          <w:szCs w:val="24"/>
        </w:rPr>
        <w:t>.</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6-7</w:t>
      </w:r>
      <w:r w:rsidR="00E661B4">
        <w:rPr>
          <w:rFonts w:ascii="Times New Roman" w:hAnsi="Times New Roman" w:cs="Times New Roman"/>
          <w:b/>
          <w:sz w:val="24"/>
          <w:szCs w:val="24"/>
        </w:rPr>
        <w:t xml:space="preserve"> (Libyan Arab Foreign Bank v. Bankers Trust Company)</w:t>
      </w:r>
    </w:p>
    <w:p w:rsidR="004A5D6F" w:rsidRDefault="004A5D6F" w:rsidP="004A5D6F">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52185A">
        <w:rPr>
          <w:rFonts w:ascii="Times New Roman" w:hAnsi="Times New Roman" w:cs="Times New Roman"/>
          <w:sz w:val="24"/>
          <w:szCs w:val="24"/>
        </w:rPr>
        <w:t xml:space="preserve">In this case, the plaintiff who is the Libyan Arab Foreign Bank had deposited cash at the Bankers Trust Bank, London Branch (defendant). </w:t>
      </w:r>
      <w:r w:rsidR="00414D14">
        <w:rPr>
          <w:rFonts w:ascii="Times New Roman" w:hAnsi="Times New Roman" w:cs="Times New Roman"/>
          <w:sz w:val="24"/>
          <w:szCs w:val="24"/>
        </w:rPr>
        <w:t xml:space="preserve">The U.S government went ahead and </w:t>
      </w:r>
      <w:r w:rsidR="006B4A4E">
        <w:rPr>
          <w:rFonts w:ascii="Times New Roman" w:hAnsi="Times New Roman" w:cs="Times New Roman"/>
          <w:sz w:val="24"/>
          <w:szCs w:val="24"/>
        </w:rPr>
        <w:t>freeze</w:t>
      </w:r>
      <w:r w:rsidR="00414D14">
        <w:rPr>
          <w:rFonts w:ascii="Times New Roman" w:hAnsi="Times New Roman" w:cs="Times New Roman"/>
          <w:sz w:val="24"/>
          <w:szCs w:val="24"/>
        </w:rPr>
        <w:t xml:space="preserve"> the resources of the plaintiff. However, this was not in line with the English law and the plaintiff felt aggrieved. The ban by the U.S government prevented the Libyan Arab Foreign Bank from accessing its resources in the London from accessing the cash deposited at the bank. At the time when the defendant didn’t want the offended party, the English Court forcefully demanded that the respondent to have the assets discharged. The English judge granted the offended party the principal case of $131 Million and they additionally requested for $161 Million. However, they did not win the 3</w:t>
      </w:r>
      <w:r w:rsidR="00414D14" w:rsidRPr="00414D14">
        <w:rPr>
          <w:rFonts w:ascii="Times New Roman" w:hAnsi="Times New Roman" w:cs="Times New Roman"/>
          <w:sz w:val="24"/>
          <w:szCs w:val="24"/>
          <w:vertAlign w:val="superscript"/>
        </w:rPr>
        <w:t>rd</w:t>
      </w:r>
      <w:r w:rsidR="00414D14">
        <w:rPr>
          <w:rFonts w:ascii="Times New Roman" w:hAnsi="Times New Roman" w:cs="Times New Roman"/>
          <w:sz w:val="24"/>
          <w:szCs w:val="24"/>
        </w:rPr>
        <w:t xml:space="preserve"> and the 4</w:t>
      </w:r>
      <w:r w:rsidR="00414D14" w:rsidRPr="00414D14">
        <w:rPr>
          <w:rFonts w:ascii="Times New Roman" w:hAnsi="Times New Roman" w:cs="Times New Roman"/>
          <w:sz w:val="24"/>
          <w:szCs w:val="24"/>
          <w:vertAlign w:val="superscript"/>
        </w:rPr>
        <w:t>th</w:t>
      </w:r>
      <w:r w:rsidR="00414D14">
        <w:rPr>
          <w:rFonts w:ascii="Times New Roman" w:hAnsi="Times New Roman" w:cs="Times New Roman"/>
          <w:sz w:val="24"/>
          <w:szCs w:val="24"/>
        </w:rPr>
        <w:t xml:space="preserve"> claims but won the 5</w:t>
      </w:r>
      <w:r w:rsidR="00414D14" w:rsidRPr="00414D14">
        <w:rPr>
          <w:rFonts w:ascii="Times New Roman" w:hAnsi="Times New Roman" w:cs="Times New Roman"/>
          <w:sz w:val="24"/>
          <w:szCs w:val="24"/>
          <w:vertAlign w:val="superscript"/>
        </w:rPr>
        <w:t>th</w:t>
      </w:r>
      <w:r w:rsidR="00414D14">
        <w:rPr>
          <w:rFonts w:ascii="Times New Roman" w:hAnsi="Times New Roman" w:cs="Times New Roman"/>
          <w:sz w:val="24"/>
          <w:szCs w:val="24"/>
        </w:rPr>
        <w:t xml:space="preserve">. This was a relief to them since they would have lost all </w:t>
      </w:r>
      <w:r w:rsidR="00414D14">
        <w:rPr>
          <w:rFonts w:ascii="Times New Roman" w:hAnsi="Times New Roman" w:cs="Times New Roman"/>
          <w:sz w:val="24"/>
          <w:szCs w:val="24"/>
        </w:rPr>
        <w:t>(</w:t>
      </w:r>
      <w:r w:rsidR="00414D14">
        <w:rPr>
          <w:rFonts w:ascii="Times New Roman" w:hAnsi="Times New Roman" w:cs="Times New Roman" w:hint="eastAsia"/>
          <w:sz w:val="24"/>
          <w:szCs w:val="24"/>
        </w:rPr>
        <w:t>Gold &amp; Gold, 2011</w:t>
      </w:r>
      <w:r w:rsidR="00414D14">
        <w:rPr>
          <w:rFonts w:ascii="Times New Roman" w:hAnsi="Times New Roman" w:cs="Times New Roman"/>
          <w:sz w:val="24"/>
          <w:szCs w:val="24"/>
        </w:rPr>
        <w:t>).</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9-3</w:t>
      </w:r>
      <w:r w:rsidR="006220FA">
        <w:rPr>
          <w:rFonts w:ascii="Times New Roman" w:hAnsi="Times New Roman" w:cs="Times New Roman"/>
          <w:b/>
          <w:sz w:val="24"/>
          <w:szCs w:val="24"/>
        </w:rPr>
        <w:t xml:space="preserve"> (Monsanto Co. v. Coramandal Indag Products, (P) Ltd.)</w:t>
      </w:r>
      <w:r w:rsidR="00925DDD">
        <w:rPr>
          <w:rFonts w:ascii="Times New Roman" w:hAnsi="Times New Roman" w:cs="Times New Roman"/>
          <w:b/>
          <w:sz w:val="24"/>
          <w:szCs w:val="24"/>
        </w:rPr>
        <w:t>.</w:t>
      </w:r>
    </w:p>
    <w:p w:rsidR="00D0071B" w:rsidRDefault="00D0071B" w:rsidP="002F252D">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lastRenderedPageBreak/>
        <w:tab/>
      </w:r>
      <w:r w:rsidR="00267997">
        <w:rPr>
          <w:rFonts w:ascii="Times New Roman" w:hAnsi="Times New Roman" w:cs="Times New Roman"/>
          <w:sz w:val="24"/>
          <w:szCs w:val="24"/>
        </w:rPr>
        <w:t>The</w:t>
      </w:r>
      <w:r w:rsidR="002F252D">
        <w:rPr>
          <w:rFonts w:ascii="Times New Roman" w:hAnsi="Times New Roman" w:cs="Times New Roman"/>
          <w:sz w:val="24"/>
          <w:szCs w:val="24"/>
        </w:rPr>
        <w:t xml:space="preserve"> case involved the Monsanto Company of St Louis, </w:t>
      </w:r>
      <w:r w:rsidR="006B4A4E">
        <w:rPr>
          <w:rFonts w:ascii="Times New Roman" w:hAnsi="Times New Roman" w:cs="Times New Roman"/>
          <w:sz w:val="24"/>
          <w:szCs w:val="24"/>
        </w:rPr>
        <w:t>Missouri, which</w:t>
      </w:r>
      <w:r w:rsidR="002F252D">
        <w:rPr>
          <w:rFonts w:ascii="Times New Roman" w:hAnsi="Times New Roman" w:cs="Times New Roman"/>
          <w:sz w:val="24"/>
          <w:szCs w:val="24"/>
        </w:rPr>
        <w:t xml:space="preserve"> was the main partner of the Monsanto Company in India.</w:t>
      </w:r>
      <w:r w:rsidRPr="00C56CE7">
        <w:rPr>
          <w:rFonts w:ascii="Times New Roman" w:hAnsi="Times New Roman" w:cs="Times New Roman"/>
          <w:sz w:val="24"/>
          <w:szCs w:val="24"/>
        </w:rPr>
        <w:t xml:space="preserve"> </w:t>
      </w:r>
      <w:r w:rsidR="00267997">
        <w:rPr>
          <w:rFonts w:ascii="Times New Roman" w:hAnsi="Times New Roman" w:cs="Times New Roman"/>
          <w:sz w:val="24"/>
          <w:szCs w:val="24"/>
        </w:rPr>
        <w:t>In this case, the corporation claimed that the Coramanda Indag Products Ltd. Which defied on the patents numbers namely patent 104120 and patent 125381. The patent licenses were used in the weed killer product but were later violated and used not as different patents but as a single patent.</w:t>
      </w:r>
      <w:r w:rsidR="007F0267">
        <w:rPr>
          <w:rFonts w:ascii="Times New Roman" w:hAnsi="Times New Roman" w:cs="Times New Roman"/>
          <w:sz w:val="24"/>
          <w:szCs w:val="24"/>
        </w:rPr>
        <w:t xml:space="preserve"> The defendant in this case is the Coromandal Indag Products (P) Ltd. It is an organization of the Indian Private </w:t>
      </w:r>
      <w:r w:rsidR="00C661DA">
        <w:rPr>
          <w:rFonts w:ascii="Times New Roman" w:hAnsi="Times New Roman" w:cs="Times New Roman"/>
          <w:sz w:val="24"/>
          <w:szCs w:val="24"/>
        </w:rPr>
        <w:t>Limited, which</w:t>
      </w:r>
      <w:r w:rsidR="007F0267">
        <w:rPr>
          <w:rFonts w:ascii="Times New Roman" w:hAnsi="Times New Roman" w:cs="Times New Roman"/>
          <w:sz w:val="24"/>
          <w:szCs w:val="24"/>
        </w:rPr>
        <w:t xml:space="preserve"> was involved in the utilization of the patent licenses granted by Monsanto Company in the weed killer product. Monsanto Company strated a suit against Coromandal Indag Products (P) Ltd who have defied the patent li</w:t>
      </w:r>
      <w:r w:rsidR="006B4A4E">
        <w:rPr>
          <w:rFonts w:ascii="Times New Roman" w:hAnsi="Times New Roman" w:cs="Times New Roman"/>
          <w:sz w:val="24"/>
          <w:szCs w:val="24"/>
        </w:rPr>
        <w:t>cens</w:t>
      </w:r>
      <w:r w:rsidR="007F0267">
        <w:rPr>
          <w:rFonts w:ascii="Times New Roman" w:hAnsi="Times New Roman" w:cs="Times New Roman"/>
          <w:sz w:val="24"/>
          <w:szCs w:val="24"/>
        </w:rPr>
        <w:t xml:space="preserve">es that had been protected for long. In this case, the patent was under the “Butachlor” name and in the real </w:t>
      </w:r>
      <w:r w:rsidR="006B4A4E">
        <w:rPr>
          <w:rFonts w:ascii="Times New Roman" w:hAnsi="Times New Roman" w:cs="Times New Roman"/>
          <w:sz w:val="24"/>
          <w:szCs w:val="24"/>
        </w:rPr>
        <w:t>case;</w:t>
      </w:r>
      <w:r w:rsidR="007F0267">
        <w:rPr>
          <w:rFonts w:ascii="Times New Roman" w:hAnsi="Times New Roman" w:cs="Times New Roman"/>
          <w:sz w:val="24"/>
          <w:szCs w:val="24"/>
        </w:rPr>
        <w:t xml:space="preserve"> they did not abuse the patent as claimed</w:t>
      </w:r>
      <w:r w:rsidR="00E63D35">
        <w:rPr>
          <w:rFonts w:ascii="Times New Roman" w:hAnsi="Times New Roman" w:cs="Times New Roman"/>
          <w:sz w:val="24"/>
          <w:szCs w:val="24"/>
        </w:rPr>
        <w:t xml:space="preserve"> </w:t>
      </w:r>
      <w:r w:rsidR="00E63D35">
        <w:rPr>
          <w:rFonts w:ascii="Times New Roman" w:hAnsi="Times New Roman" w:cs="Times New Roman"/>
          <w:sz w:val="24"/>
          <w:szCs w:val="24"/>
        </w:rPr>
        <w:t>(</w:t>
      </w:r>
      <w:r w:rsidR="00E63D35">
        <w:rPr>
          <w:rFonts w:ascii="Times New Roman" w:hAnsi="Times New Roman" w:cs="Times New Roman" w:hint="eastAsia"/>
          <w:sz w:val="24"/>
          <w:szCs w:val="24"/>
        </w:rPr>
        <w:t>Gopalakrishnan,</w:t>
      </w:r>
      <w:r w:rsidR="00E63D35">
        <w:rPr>
          <w:rFonts w:ascii="Times New Roman" w:hAnsi="Times New Roman" w:cs="Times New Roman"/>
          <w:sz w:val="24"/>
          <w:szCs w:val="24"/>
        </w:rPr>
        <w:t xml:space="preserve"> </w:t>
      </w:r>
      <w:r w:rsidR="00E63D35">
        <w:rPr>
          <w:rFonts w:ascii="Times New Roman" w:hAnsi="Times New Roman" w:cs="Times New Roman" w:hint="eastAsia"/>
          <w:sz w:val="24"/>
          <w:szCs w:val="24"/>
        </w:rPr>
        <w:t>2013)</w:t>
      </w:r>
      <w:r w:rsidR="007F0267">
        <w:rPr>
          <w:rFonts w:ascii="Times New Roman" w:hAnsi="Times New Roman" w:cs="Times New Roman"/>
          <w:sz w:val="24"/>
          <w:szCs w:val="24"/>
        </w:rPr>
        <w:t xml:space="preserve">. </w:t>
      </w:r>
    </w:p>
    <w:p w:rsidR="00C661DA" w:rsidRPr="00C56CE7" w:rsidRDefault="00C661DA" w:rsidP="002F252D">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EB6921">
        <w:rPr>
          <w:rFonts w:ascii="Times New Roman" w:hAnsi="Times New Roman" w:cs="Times New Roman"/>
          <w:sz w:val="24"/>
          <w:szCs w:val="24"/>
        </w:rPr>
        <w:t>Monsanto Company obtained a specimen of Coramandal Indag Products Company and analyzed the results.</w:t>
      </w:r>
      <w:r w:rsidR="007C1B07">
        <w:rPr>
          <w:rFonts w:ascii="Times New Roman" w:hAnsi="Times New Roman" w:cs="Times New Roman"/>
          <w:sz w:val="24"/>
          <w:szCs w:val="24"/>
        </w:rPr>
        <w:t xml:space="preserve"> The results showed that the item has the same mixes found in the Monsanto Company. The court was then requested to reveal the Coramandal Indag Products Company and how they had encroached the patent licenses. </w:t>
      </w:r>
      <w:r w:rsidR="00440D03" w:rsidRPr="00C56CE7">
        <w:rPr>
          <w:rFonts w:ascii="Times New Roman" w:hAnsi="Times New Roman" w:cs="Times New Roman"/>
          <w:sz w:val="24"/>
          <w:szCs w:val="24"/>
        </w:rPr>
        <w:t>Cor</w:t>
      </w:r>
      <w:r w:rsidR="00440D03">
        <w:rPr>
          <w:rFonts w:ascii="Times New Roman" w:hAnsi="Times New Roman" w:cs="Times New Roman"/>
          <w:sz w:val="24"/>
          <w:szCs w:val="24"/>
        </w:rPr>
        <w:t xml:space="preserve">amandal Indag Products Company </w:t>
      </w:r>
      <w:r w:rsidR="00440D03" w:rsidRPr="00C56CE7">
        <w:rPr>
          <w:rFonts w:ascii="Times New Roman" w:hAnsi="Times New Roman" w:cs="Times New Roman"/>
          <w:sz w:val="24"/>
          <w:szCs w:val="24"/>
        </w:rPr>
        <w:t>scratched off the licenses of Monsanto Company.</w:t>
      </w:r>
    </w:p>
    <w:p w:rsidR="006220FA" w:rsidRDefault="006220FA" w:rsidP="006220FA">
      <w:pPr>
        <w:spacing w:line="480" w:lineRule="auto"/>
        <w:ind w:left="0" w:firstLine="0"/>
        <w:rPr>
          <w:rFonts w:ascii="Times New Roman" w:hAnsi="Times New Roman" w:cs="Times New Roman"/>
          <w:sz w:val="24"/>
          <w:szCs w:val="24"/>
        </w:rPr>
      </w:pPr>
      <w:r w:rsidRPr="00C56CE7">
        <w:rPr>
          <w:rFonts w:ascii="Times New Roman" w:hAnsi="Times New Roman" w:cs="Times New Roman"/>
          <w:sz w:val="24"/>
          <w:szCs w:val="24"/>
        </w:rPr>
        <w:tab/>
      </w:r>
    </w:p>
    <w:p w:rsidR="00440D03" w:rsidRDefault="00440D03" w:rsidP="006220FA">
      <w:pPr>
        <w:spacing w:line="480" w:lineRule="auto"/>
        <w:ind w:left="0" w:firstLine="0"/>
        <w:rPr>
          <w:rFonts w:ascii="Times New Roman" w:hAnsi="Times New Roman" w:cs="Times New Roman"/>
          <w:sz w:val="24"/>
          <w:szCs w:val="24"/>
        </w:rPr>
      </w:pPr>
    </w:p>
    <w:p w:rsidR="00440D03" w:rsidRDefault="00440D03" w:rsidP="006220FA">
      <w:pPr>
        <w:spacing w:line="480" w:lineRule="auto"/>
        <w:ind w:left="0" w:firstLine="0"/>
        <w:rPr>
          <w:rFonts w:ascii="Times New Roman" w:hAnsi="Times New Roman" w:cs="Times New Roman"/>
          <w:sz w:val="24"/>
          <w:szCs w:val="24"/>
        </w:rPr>
      </w:pPr>
    </w:p>
    <w:p w:rsidR="00440D03" w:rsidRDefault="00440D03" w:rsidP="006220FA">
      <w:pPr>
        <w:spacing w:line="480" w:lineRule="auto"/>
        <w:ind w:left="0" w:firstLine="0"/>
        <w:rPr>
          <w:rFonts w:ascii="Times New Roman" w:hAnsi="Times New Roman" w:cs="Times New Roman"/>
          <w:sz w:val="24"/>
          <w:szCs w:val="24"/>
        </w:rPr>
      </w:pPr>
    </w:p>
    <w:p w:rsidR="00440D03" w:rsidRDefault="00440D03" w:rsidP="006220FA">
      <w:pPr>
        <w:spacing w:line="480" w:lineRule="auto"/>
        <w:ind w:left="0" w:firstLine="0"/>
        <w:rPr>
          <w:rFonts w:ascii="Times New Roman" w:hAnsi="Times New Roman" w:cs="Times New Roman"/>
          <w:sz w:val="24"/>
          <w:szCs w:val="24"/>
        </w:rPr>
      </w:pPr>
    </w:p>
    <w:p w:rsidR="00440D03" w:rsidRPr="00C56CE7" w:rsidRDefault="00440D03" w:rsidP="006220FA">
      <w:pPr>
        <w:spacing w:line="480" w:lineRule="auto"/>
        <w:ind w:left="0" w:firstLine="0"/>
        <w:rPr>
          <w:rFonts w:ascii="Times New Roman" w:hAnsi="Times New Roman" w:cs="Times New Roman"/>
          <w:sz w:val="24"/>
          <w:szCs w:val="24"/>
        </w:rPr>
      </w:pPr>
    </w:p>
    <w:p w:rsidR="007C383A" w:rsidRPr="00C56CE7" w:rsidRDefault="0084417C" w:rsidP="0084417C">
      <w:pPr>
        <w:spacing w:line="480" w:lineRule="auto"/>
        <w:ind w:left="0" w:firstLine="0"/>
        <w:rPr>
          <w:rFonts w:ascii="Times New Roman" w:hAnsi="Times New Roman" w:cs="Times New Roman"/>
          <w:sz w:val="24"/>
          <w:szCs w:val="24"/>
        </w:rPr>
      </w:pPr>
      <w:r w:rsidRPr="00C56CE7">
        <w:rPr>
          <w:rFonts w:ascii="Times New Roman" w:hAnsi="Times New Roman" w:cs="Times New Roman"/>
          <w:sz w:val="24"/>
          <w:szCs w:val="24"/>
        </w:rPr>
        <w:tab/>
      </w:r>
    </w:p>
    <w:p w:rsidR="00B92D72" w:rsidRDefault="00B92D72" w:rsidP="00B92D72">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966B8D" w:rsidRDefault="00966B8D" w:rsidP="00557CC5">
      <w:pPr>
        <w:spacing w:line="480" w:lineRule="auto"/>
        <w:rPr>
          <w:rFonts w:ascii="Times New Roman" w:hAnsi="Times New Roman" w:cs="Times New Roman"/>
          <w:sz w:val="24"/>
          <w:szCs w:val="24"/>
        </w:rPr>
      </w:pPr>
      <w:proofErr w:type="gramStart"/>
      <w:r>
        <w:rPr>
          <w:rFonts w:ascii="Times New Roman" w:hAnsi="Times New Roman" w:cs="Times New Roman" w:hint="eastAsia"/>
          <w:sz w:val="24"/>
          <w:szCs w:val="24"/>
        </w:rPr>
        <w:t>August, R. (201</w:t>
      </w:r>
      <w:r>
        <w:rPr>
          <w:rFonts w:ascii="Times New Roman" w:hAnsi="Times New Roman" w:cs="Times New Roman"/>
          <w:sz w:val="24"/>
          <w:szCs w:val="24"/>
        </w:rPr>
        <w:t>2</w:t>
      </w:r>
      <w:r w:rsidRPr="00966B8D">
        <w:rPr>
          <w:rFonts w:ascii="Times New Roman" w:hAnsi="Times New Roman" w:cs="Times New Roman" w:hint="eastAsia"/>
          <w:sz w:val="24"/>
          <w:szCs w:val="24"/>
        </w:rPr>
        <w:t>).</w:t>
      </w:r>
      <w:proofErr w:type="gramEnd"/>
      <w:r w:rsidRPr="00966B8D">
        <w:rPr>
          <w:rFonts w:ascii="Times New Roman" w:hAnsi="Times New Roman" w:cs="Times New Roman" w:hint="eastAsia"/>
          <w:sz w:val="24"/>
          <w:szCs w:val="24"/>
        </w:rPr>
        <w:t> </w:t>
      </w:r>
      <w:r w:rsidRPr="00966B8D">
        <w:rPr>
          <w:rFonts w:ascii="Times New Roman" w:hAnsi="Times New Roman" w:cs="Times New Roman" w:hint="eastAsia"/>
          <w:i/>
          <w:iCs/>
          <w:sz w:val="24"/>
          <w:szCs w:val="24"/>
        </w:rPr>
        <w:t>International business law: Text, cases, and readings</w:t>
      </w:r>
      <w:r w:rsidRPr="00966B8D">
        <w:rPr>
          <w:rFonts w:ascii="Times New Roman" w:hAnsi="Times New Roman" w:cs="Times New Roman" w:hint="eastAsia"/>
          <w:sz w:val="24"/>
          <w:szCs w:val="24"/>
        </w:rPr>
        <w:t xml:space="preserve">. Upper Saddle River, </w:t>
      </w:r>
      <w:bookmarkStart w:id="0" w:name="_GoBack"/>
      <w:bookmarkEnd w:id="0"/>
      <w:r w:rsidRPr="00966B8D">
        <w:rPr>
          <w:rFonts w:ascii="Times New Roman" w:hAnsi="Times New Roman" w:cs="Times New Roman" w:hint="eastAsia"/>
          <w:sz w:val="24"/>
          <w:szCs w:val="24"/>
        </w:rPr>
        <w:t>N.J: Prentice Hall.</w:t>
      </w:r>
    </w:p>
    <w:p w:rsidR="00E86AD7" w:rsidRDefault="00E86AD7" w:rsidP="00557CC5">
      <w:pPr>
        <w:spacing w:line="480" w:lineRule="auto"/>
        <w:rPr>
          <w:rFonts w:ascii="Times New Roman" w:hAnsi="Times New Roman" w:cs="Times New Roman"/>
          <w:sz w:val="24"/>
          <w:szCs w:val="24"/>
        </w:rPr>
      </w:pPr>
      <w:proofErr w:type="gramStart"/>
      <w:r>
        <w:rPr>
          <w:rFonts w:ascii="Times New Roman" w:hAnsi="Times New Roman" w:cs="Times New Roman" w:hint="eastAsia"/>
          <w:sz w:val="24"/>
          <w:szCs w:val="24"/>
        </w:rPr>
        <w:t>Gold, J., &amp; Gold, J. (2011</w:t>
      </w:r>
      <w:r w:rsidRPr="00E86AD7">
        <w:rPr>
          <w:rFonts w:ascii="Times New Roman" w:hAnsi="Times New Roman" w:cs="Times New Roman" w:hint="eastAsia"/>
          <w:sz w:val="24"/>
          <w:szCs w:val="24"/>
        </w:rPr>
        <w:t>).</w:t>
      </w:r>
      <w:proofErr w:type="gramEnd"/>
      <w:r w:rsidRPr="00E86AD7">
        <w:rPr>
          <w:rFonts w:ascii="Times New Roman" w:hAnsi="Times New Roman" w:cs="Times New Roman" w:hint="eastAsia"/>
          <w:sz w:val="24"/>
          <w:szCs w:val="24"/>
        </w:rPr>
        <w:t> </w:t>
      </w:r>
      <w:proofErr w:type="gramStart"/>
      <w:r w:rsidRPr="00E86AD7">
        <w:rPr>
          <w:rFonts w:ascii="Times New Roman" w:hAnsi="Times New Roman" w:cs="Times New Roman" w:hint="eastAsia"/>
          <w:i/>
          <w:iCs/>
          <w:sz w:val="24"/>
          <w:szCs w:val="24"/>
        </w:rPr>
        <w:t>The Fund Agreement in the Court, Vol. IV</w:t>
      </w:r>
      <w:r w:rsidRPr="00E86AD7">
        <w:rPr>
          <w:rFonts w:ascii="Times New Roman" w:hAnsi="Times New Roman" w:cs="Times New Roman" w:hint="eastAsia"/>
          <w:sz w:val="24"/>
          <w:szCs w:val="24"/>
        </w:rPr>
        <w:t>.</w:t>
      </w:r>
      <w:proofErr w:type="gramEnd"/>
      <w:r w:rsidRPr="00E86AD7">
        <w:rPr>
          <w:rFonts w:ascii="Times New Roman" w:hAnsi="Times New Roman" w:cs="Times New Roman" w:hint="eastAsia"/>
          <w:sz w:val="24"/>
          <w:szCs w:val="24"/>
        </w:rPr>
        <w:t xml:space="preserve"> Washington, D.C: International Monetary Fund.</w:t>
      </w:r>
    </w:p>
    <w:p w:rsidR="00EE7BEE" w:rsidRDefault="00EE7BEE"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Gopalakrishnan, N. S. (2013</w:t>
      </w:r>
      <w:r w:rsidRPr="00EE7BEE">
        <w:rPr>
          <w:rFonts w:ascii="Times New Roman" w:hAnsi="Times New Roman" w:cs="Times New Roman" w:hint="eastAsia"/>
          <w:sz w:val="24"/>
          <w:szCs w:val="24"/>
        </w:rPr>
        <w:t>). </w:t>
      </w:r>
      <w:r w:rsidRPr="00EE7BEE">
        <w:rPr>
          <w:rFonts w:ascii="Times New Roman" w:hAnsi="Times New Roman" w:cs="Times New Roman" w:hint="eastAsia"/>
          <w:i/>
          <w:iCs/>
          <w:sz w:val="24"/>
          <w:szCs w:val="24"/>
        </w:rPr>
        <w:t>Intellectual property and criminal law</w:t>
      </w:r>
      <w:r w:rsidRPr="00EE7BEE">
        <w:rPr>
          <w:rFonts w:ascii="Times New Roman" w:hAnsi="Times New Roman" w:cs="Times New Roman" w:hint="eastAsia"/>
          <w:sz w:val="24"/>
          <w:szCs w:val="24"/>
        </w:rPr>
        <w:t>. Bangalore, India: National Law School of India University.</w:t>
      </w:r>
    </w:p>
    <w:p w:rsidR="00EC22FA" w:rsidRDefault="00EC22FA"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Schoenbaum, T. J. (2013</w:t>
      </w:r>
      <w:r w:rsidRPr="00EC22FA">
        <w:rPr>
          <w:rFonts w:ascii="Times New Roman" w:hAnsi="Times New Roman" w:cs="Times New Roman" w:hint="eastAsia"/>
          <w:sz w:val="24"/>
          <w:szCs w:val="24"/>
        </w:rPr>
        <w:t>). </w:t>
      </w:r>
      <w:r w:rsidRPr="00EC22FA">
        <w:rPr>
          <w:rFonts w:ascii="Times New Roman" w:hAnsi="Times New Roman" w:cs="Times New Roman" w:hint="eastAsia"/>
          <w:i/>
          <w:iCs/>
          <w:sz w:val="24"/>
          <w:szCs w:val="24"/>
        </w:rPr>
        <w:t>Admiralty and maritime law</w:t>
      </w:r>
      <w:r w:rsidRPr="00EC22FA">
        <w:rPr>
          <w:rFonts w:ascii="Times New Roman" w:hAnsi="Times New Roman" w:cs="Times New Roman" w:hint="eastAsia"/>
          <w:sz w:val="24"/>
          <w:szCs w:val="24"/>
        </w:rPr>
        <w:t>. St. Paul, Minn: West Group.</w:t>
      </w:r>
    </w:p>
    <w:p w:rsidR="007F1C66"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Washington (State)., &amp; Washington State Historic</w:t>
      </w:r>
      <w:r>
        <w:rPr>
          <w:rFonts w:ascii="Times New Roman" w:hAnsi="Times New Roman" w:cs="Times New Roman" w:hint="eastAsia"/>
          <w:sz w:val="24"/>
          <w:szCs w:val="24"/>
        </w:rPr>
        <w:t>al Records Advisory Board. (2012</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Historical records of Washington State: Guide to records in State Archives and its regional depositories</w:t>
      </w:r>
      <w:r w:rsidRPr="007F1C66">
        <w:rPr>
          <w:rFonts w:ascii="Times New Roman" w:hAnsi="Times New Roman" w:cs="Times New Roman" w:hint="eastAsia"/>
          <w:sz w:val="24"/>
          <w:szCs w:val="24"/>
        </w:rPr>
        <w:t>. Olympia, Wash.: Division of Archives and Records Management.</w:t>
      </w:r>
    </w:p>
    <w:p w:rsidR="007F1C66" w:rsidRPr="00EC22FA"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 xml:space="preserve">West Group., </w:t>
      </w:r>
      <w:r>
        <w:rPr>
          <w:rFonts w:ascii="Times New Roman" w:hAnsi="Times New Roman" w:cs="Times New Roman" w:hint="eastAsia"/>
          <w:sz w:val="24"/>
          <w:szCs w:val="24"/>
        </w:rPr>
        <w:t>&amp; West Publishing Company. (2014</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West's federal practice digest 4th</w:t>
      </w:r>
      <w:r w:rsidRPr="007F1C66">
        <w:rPr>
          <w:rFonts w:ascii="Times New Roman" w:hAnsi="Times New Roman" w:cs="Times New Roman" w:hint="eastAsia"/>
          <w:sz w:val="24"/>
          <w:szCs w:val="24"/>
        </w:rPr>
        <w:t>. St. Paul, Minn: Thomson/West.</w:t>
      </w:r>
    </w:p>
    <w:p w:rsidR="00A1243A" w:rsidRPr="007C383A" w:rsidRDefault="00A1243A" w:rsidP="00A1243A">
      <w:pPr>
        <w:spacing w:line="480" w:lineRule="auto"/>
        <w:ind w:left="0" w:firstLine="0"/>
        <w:rPr>
          <w:rFonts w:ascii="Times New Roman" w:hAnsi="Times New Roman" w:cs="Times New Roman"/>
          <w:b/>
          <w:sz w:val="24"/>
          <w:szCs w:val="24"/>
        </w:rPr>
      </w:pPr>
    </w:p>
    <w:sectPr w:rsidR="00A1243A" w:rsidRPr="007C383A"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D8B" w:rsidRDefault="00874D8B">
      <w:r>
        <w:separator/>
      </w:r>
    </w:p>
  </w:endnote>
  <w:endnote w:type="continuationSeparator" w:id="0">
    <w:p w:rsidR="00874D8B" w:rsidRDefault="0087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D8B" w:rsidRDefault="00874D8B">
      <w:r>
        <w:separator/>
      </w:r>
    </w:p>
  </w:footnote>
  <w:footnote w:type="continuationSeparator" w:id="0">
    <w:p w:rsidR="00874D8B" w:rsidRDefault="00874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0A5" w:rsidRPr="006860A5" w:rsidRDefault="006860A5" w:rsidP="006860A5">
    <w:pPr>
      <w:pStyle w:val="Header"/>
      <w:rPr>
        <w:rFonts w:ascii="Times New Roman" w:hAnsi="Times New Roman" w:cs="Times New Roman"/>
        <w:sz w:val="24"/>
        <w:szCs w:val="24"/>
      </w:rPr>
    </w:pPr>
    <w:r w:rsidRPr="006860A5">
      <w:rPr>
        <w:rFonts w:ascii="Times New Roman" w:hAnsi="Times New Roman" w:cs="Times New Roman"/>
        <w:sz w:val="24"/>
        <w:szCs w:val="24"/>
      </w:rPr>
      <w:t>LEGAL ASPECTS</w:t>
    </w:r>
    <w:r w:rsidRPr="006860A5">
      <w:rPr>
        <w:rFonts w:ascii="Times New Roman" w:hAnsi="Times New Roman" w:cs="Times New Roman"/>
        <w:sz w:val="24"/>
        <w:szCs w:val="24"/>
      </w:rPr>
      <w:tab/>
    </w:r>
    <w:r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Pr="006860A5">
          <w:rPr>
            <w:rFonts w:ascii="Times New Roman" w:hAnsi="Times New Roman" w:cs="Times New Roman"/>
            <w:sz w:val="24"/>
            <w:szCs w:val="24"/>
          </w:rPr>
          <w:fldChar w:fldCharType="begin"/>
        </w:r>
        <w:r w:rsidRPr="006860A5">
          <w:rPr>
            <w:rFonts w:ascii="Times New Roman" w:hAnsi="Times New Roman" w:cs="Times New Roman"/>
            <w:sz w:val="24"/>
            <w:szCs w:val="24"/>
          </w:rPr>
          <w:instrText xml:space="preserve"> PAGE   \* MERGEFORMAT </w:instrText>
        </w:r>
        <w:r w:rsidRPr="006860A5">
          <w:rPr>
            <w:rFonts w:ascii="Times New Roman" w:hAnsi="Times New Roman" w:cs="Times New Roman"/>
            <w:sz w:val="24"/>
            <w:szCs w:val="24"/>
          </w:rPr>
          <w:fldChar w:fldCharType="separate"/>
        </w:r>
        <w:r w:rsidR="006B4A4E">
          <w:rPr>
            <w:rFonts w:ascii="Times New Roman" w:hAnsi="Times New Roman" w:cs="Times New Roman"/>
            <w:noProof/>
            <w:sz w:val="24"/>
            <w:szCs w:val="24"/>
          </w:rPr>
          <w:t>7</w:t>
        </w:r>
        <w:r w:rsidRPr="006860A5">
          <w:rPr>
            <w:rFonts w:ascii="Times New Roman" w:hAnsi="Times New Roman" w:cs="Times New Roman"/>
            <w:noProof/>
            <w:sz w:val="24"/>
            <w:szCs w:val="24"/>
          </w:rPr>
          <w:fldChar w:fldCharType="end"/>
        </w:r>
      </w:sdtContent>
    </w:sdt>
  </w:p>
  <w:p w:rsidR="0081767B" w:rsidRPr="006860A5" w:rsidRDefault="008176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17C" w:rsidRPr="0084417C" w:rsidRDefault="0084417C">
    <w:pPr>
      <w:pStyle w:val="Header"/>
      <w:rPr>
        <w:rFonts w:ascii="Times New Roman" w:hAnsi="Times New Roman" w:cs="Times New Roman"/>
        <w:sz w:val="24"/>
        <w:szCs w:val="24"/>
      </w:rPr>
    </w:pPr>
    <w:r w:rsidRPr="0084417C">
      <w:rPr>
        <w:rFonts w:ascii="Times New Roman" w:hAnsi="Times New Roman" w:cs="Times New Roman"/>
        <w:sz w:val="24"/>
        <w:szCs w:val="24"/>
      </w:rPr>
      <w:t>RUNNING HEAD: LEGAL ASPECTS</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11D8B"/>
    <w:rsid w:val="0002519E"/>
    <w:rsid w:val="00025D98"/>
    <w:rsid w:val="000359BC"/>
    <w:rsid w:val="0005276D"/>
    <w:rsid w:val="00066B0C"/>
    <w:rsid w:val="0007538F"/>
    <w:rsid w:val="00076051"/>
    <w:rsid w:val="000B24E8"/>
    <w:rsid w:val="000B56F8"/>
    <w:rsid w:val="000B63FE"/>
    <w:rsid w:val="000C2EE7"/>
    <w:rsid w:val="000C575B"/>
    <w:rsid w:val="000D0B3E"/>
    <w:rsid w:val="000D3DEB"/>
    <w:rsid w:val="000F3D9E"/>
    <w:rsid w:val="00135376"/>
    <w:rsid w:val="00190B80"/>
    <w:rsid w:val="001C0E02"/>
    <w:rsid w:val="001C435B"/>
    <w:rsid w:val="00201B34"/>
    <w:rsid w:val="002246D2"/>
    <w:rsid w:val="00267997"/>
    <w:rsid w:val="00277236"/>
    <w:rsid w:val="00287517"/>
    <w:rsid w:val="002A0ED5"/>
    <w:rsid w:val="002B0C26"/>
    <w:rsid w:val="002D6C4E"/>
    <w:rsid w:val="002E29E5"/>
    <w:rsid w:val="002F252D"/>
    <w:rsid w:val="003236B9"/>
    <w:rsid w:val="003327A6"/>
    <w:rsid w:val="003407B8"/>
    <w:rsid w:val="00343DD6"/>
    <w:rsid w:val="00372EAB"/>
    <w:rsid w:val="00377F7D"/>
    <w:rsid w:val="003A2E5E"/>
    <w:rsid w:val="003B6D1E"/>
    <w:rsid w:val="003C47B8"/>
    <w:rsid w:val="003D43BC"/>
    <w:rsid w:val="003F0F8C"/>
    <w:rsid w:val="003F7F72"/>
    <w:rsid w:val="00414D14"/>
    <w:rsid w:val="00440D03"/>
    <w:rsid w:val="0046163E"/>
    <w:rsid w:val="0048048C"/>
    <w:rsid w:val="004A5D6F"/>
    <w:rsid w:val="004E0C5E"/>
    <w:rsid w:val="004E77F0"/>
    <w:rsid w:val="004F6E82"/>
    <w:rsid w:val="005036E4"/>
    <w:rsid w:val="00507E2E"/>
    <w:rsid w:val="005136C1"/>
    <w:rsid w:val="0052185A"/>
    <w:rsid w:val="005327B6"/>
    <w:rsid w:val="00555720"/>
    <w:rsid w:val="00557CC5"/>
    <w:rsid w:val="00585B6F"/>
    <w:rsid w:val="005A1C25"/>
    <w:rsid w:val="005C43A8"/>
    <w:rsid w:val="006220FA"/>
    <w:rsid w:val="006238CA"/>
    <w:rsid w:val="00641236"/>
    <w:rsid w:val="00662C55"/>
    <w:rsid w:val="00680F34"/>
    <w:rsid w:val="006860A5"/>
    <w:rsid w:val="0069129F"/>
    <w:rsid w:val="00692A82"/>
    <w:rsid w:val="00694861"/>
    <w:rsid w:val="006B4A4E"/>
    <w:rsid w:val="006E0B4F"/>
    <w:rsid w:val="006F223F"/>
    <w:rsid w:val="0070610C"/>
    <w:rsid w:val="00747945"/>
    <w:rsid w:val="007B20D0"/>
    <w:rsid w:val="007C1B07"/>
    <w:rsid w:val="007C383A"/>
    <w:rsid w:val="007F0267"/>
    <w:rsid w:val="007F1C66"/>
    <w:rsid w:val="00814232"/>
    <w:rsid w:val="00815F7B"/>
    <w:rsid w:val="0081767B"/>
    <w:rsid w:val="008249A3"/>
    <w:rsid w:val="00835F38"/>
    <w:rsid w:val="00840C0F"/>
    <w:rsid w:val="0084417C"/>
    <w:rsid w:val="008669B4"/>
    <w:rsid w:val="00874D8B"/>
    <w:rsid w:val="00875737"/>
    <w:rsid w:val="008821BA"/>
    <w:rsid w:val="008971F8"/>
    <w:rsid w:val="008D613A"/>
    <w:rsid w:val="008D7D2F"/>
    <w:rsid w:val="008E1B6C"/>
    <w:rsid w:val="00925DDD"/>
    <w:rsid w:val="00947771"/>
    <w:rsid w:val="00966B8D"/>
    <w:rsid w:val="0098154A"/>
    <w:rsid w:val="00995A29"/>
    <w:rsid w:val="009A314F"/>
    <w:rsid w:val="009B69AE"/>
    <w:rsid w:val="009D0ED5"/>
    <w:rsid w:val="009E59D7"/>
    <w:rsid w:val="00A07A50"/>
    <w:rsid w:val="00A1243A"/>
    <w:rsid w:val="00A13DF7"/>
    <w:rsid w:val="00A15F97"/>
    <w:rsid w:val="00A439AB"/>
    <w:rsid w:val="00A47AE1"/>
    <w:rsid w:val="00A65C3A"/>
    <w:rsid w:val="00A7393A"/>
    <w:rsid w:val="00A9670B"/>
    <w:rsid w:val="00AA7E09"/>
    <w:rsid w:val="00AD7A3F"/>
    <w:rsid w:val="00AE1CB1"/>
    <w:rsid w:val="00B0670F"/>
    <w:rsid w:val="00B41413"/>
    <w:rsid w:val="00B60FAF"/>
    <w:rsid w:val="00B66C13"/>
    <w:rsid w:val="00B67304"/>
    <w:rsid w:val="00B83021"/>
    <w:rsid w:val="00B92D72"/>
    <w:rsid w:val="00C077E1"/>
    <w:rsid w:val="00C1354F"/>
    <w:rsid w:val="00C24BE6"/>
    <w:rsid w:val="00C5218C"/>
    <w:rsid w:val="00C56CE7"/>
    <w:rsid w:val="00C60C82"/>
    <w:rsid w:val="00C64B1E"/>
    <w:rsid w:val="00C661DA"/>
    <w:rsid w:val="00C70A1F"/>
    <w:rsid w:val="00C854D6"/>
    <w:rsid w:val="00CD62EE"/>
    <w:rsid w:val="00CE3A1D"/>
    <w:rsid w:val="00D0071B"/>
    <w:rsid w:val="00D115B0"/>
    <w:rsid w:val="00D154D8"/>
    <w:rsid w:val="00D41049"/>
    <w:rsid w:val="00D816A6"/>
    <w:rsid w:val="00DD482F"/>
    <w:rsid w:val="00DE018A"/>
    <w:rsid w:val="00DE26FE"/>
    <w:rsid w:val="00DF14BB"/>
    <w:rsid w:val="00E31431"/>
    <w:rsid w:val="00E35D78"/>
    <w:rsid w:val="00E60612"/>
    <w:rsid w:val="00E63D35"/>
    <w:rsid w:val="00E661B4"/>
    <w:rsid w:val="00E86AD7"/>
    <w:rsid w:val="00EB6921"/>
    <w:rsid w:val="00EC22FA"/>
    <w:rsid w:val="00ED1873"/>
    <w:rsid w:val="00EE5A14"/>
    <w:rsid w:val="00EE7BEE"/>
    <w:rsid w:val="00F91257"/>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970</TotalTime>
  <Pages>7</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40</cp:revision>
  <dcterms:created xsi:type="dcterms:W3CDTF">2017-11-03T02:50:00Z</dcterms:created>
  <dcterms:modified xsi:type="dcterms:W3CDTF">2017-11-06T16:13:00Z</dcterms:modified>
</cp:coreProperties>
</file>